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7089"/>
      </w:tblGrid>
      <w:tr w:rsidR="00C67092" w:rsidRPr="00C67092" w:rsidTr="00AF18EB">
        <w:trPr>
          <w:trHeight w:val="1415"/>
        </w:trPr>
        <w:tc>
          <w:tcPr>
            <w:tcW w:w="9778" w:type="dxa"/>
            <w:gridSpan w:val="2"/>
            <w:shd w:val="clear" w:color="auto" w:fill="365F91" w:themeFill="accent1" w:themeFillShade="BF"/>
            <w:vAlign w:val="center"/>
          </w:tcPr>
          <w:p w:rsidR="00EC3D1A" w:rsidRDefault="00FD306C" w:rsidP="00125B25">
            <w:pPr>
              <w:jc w:val="center"/>
              <w:rPr>
                <w:b/>
                <w:bCs/>
                <w:color w:val="FABF8F" w:themeColor="accent6" w:themeTint="99"/>
                <w:sz w:val="28"/>
                <w:szCs w:val="28"/>
                <w:lang w:val="en-US"/>
              </w:rPr>
            </w:pPr>
            <w:r w:rsidRPr="00FD306C">
              <w:rPr>
                <w:b/>
                <w:bCs/>
                <w:color w:val="FABF8F" w:themeColor="accent6" w:themeTint="99"/>
                <w:sz w:val="28"/>
                <w:szCs w:val="28"/>
                <w:lang w:val="en-US"/>
              </w:rPr>
              <w:t xml:space="preserve">PROGETTO </w:t>
            </w:r>
          </w:p>
          <w:p w:rsidR="004A5EB4" w:rsidRPr="00AF18EB" w:rsidRDefault="002939E5" w:rsidP="00125B25">
            <w:pPr>
              <w:jc w:val="center"/>
              <w:rPr>
                <w:b/>
                <w:bCs/>
                <w:color w:val="FABF8F" w:themeColor="accent6" w:themeTint="99"/>
                <w:sz w:val="28"/>
                <w:szCs w:val="28"/>
                <w:lang w:val="en-US"/>
              </w:rPr>
            </w:pPr>
            <w:r w:rsidRPr="00EC3D1A">
              <w:rPr>
                <w:b/>
                <w:bCs/>
                <w:color w:val="FABF8F" w:themeColor="accent6" w:themeTint="99"/>
                <w:sz w:val="28"/>
                <w:szCs w:val="28"/>
                <w:lang w:val="en-US"/>
              </w:rPr>
              <w:t>SUBNODES - "Connecting the hinterland via sub-nodes to the TEN-T core network"</w:t>
            </w:r>
          </w:p>
        </w:tc>
      </w:tr>
      <w:tr w:rsidR="00C4458E" w:rsidRPr="00BD1A07" w:rsidTr="00AF18EB">
        <w:trPr>
          <w:trHeight w:val="1959"/>
        </w:trPr>
        <w:tc>
          <w:tcPr>
            <w:tcW w:w="2689" w:type="dxa"/>
            <w:vAlign w:val="center"/>
          </w:tcPr>
          <w:p w:rsidR="00C4458E" w:rsidRDefault="00B033B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PROGRAMMA CTE</w:t>
            </w:r>
          </w:p>
          <w:p w:rsidR="00C4458E" w:rsidRDefault="00B033B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LOGO E SITO WEB</w:t>
            </w:r>
          </w:p>
        </w:tc>
        <w:tc>
          <w:tcPr>
            <w:tcW w:w="7089" w:type="dxa"/>
            <w:vAlign w:val="center"/>
          </w:tcPr>
          <w:p w:rsidR="00DF5EE7" w:rsidRDefault="00DF5EE7" w:rsidP="00942481">
            <w:pPr>
              <w:jc w:val="center"/>
            </w:pPr>
          </w:p>
          <w:p w:rsidR="00C4458E" w:rsidRDefault="00DF5EE7" w:rsidP="00942481">
            <w:pPr>
              <w:jc w:val="center"/>
              <w:rPr>
                <w:rStyle w:val="Collegamentoipertestuale"/>
                <w:b/>
                <w:bCs/>
                <w:noProof/>
                <w:sz w:val="24"/>
                <w:szCs w:val="24"/>
                <w:lang w:eastAsia="it-IT"/>
              </w:rPr>
            </w:pPr>
            <w:hyperlink r:id="rId5" w:history="1">
              <w:r w:rsidR="00942481" w:rsidRPr="005637B8">
                <w:rPr>
                  <w:rStyle w:val="Collegamentoipertestuale"/>
                  <w:b/>
                  <w:bCs/>
                  <w:noProof/>
                  <w:sz w:val="24"/>
                  <w:szCs w:val="24"/>
                  <w:lang w:eastAsia="it-IT"/>
                </w:rPr>
                <w:t>http://www.interreg-central.eu/Content.Node/home.html</w:t>
              </w:r>
            </w:hyperlink>
          </w:p>
          <w:p w:rsidR="00DF5EE7" w:rsidRDefault="00DF5EE7" w:rsidP="00942481">
            <w:pPr>
              <w:jc w:val="center"/>
              <w:rPr>
                <w:rStyle w:val="Collegamentoipertestuale"/>
                <w:b/>
                <w:bCs/>
                <w:noProof/>
                <w:sz w:val="24"/>
                <w:szCs w:val="24"/>
                <w:lang w:eastAsia="it-IT"/>
              </w:rPr>
            </w:pPr>
          </w:p>
          <w:p w:rsidR="00DF5EE7" w:rsidRDefault="00DF5EE7" w:rsidP="00942481">
            <w:pPr>
              <w:jc w:val="center"/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  <w:p w:rsidR="00942481" w:rsidRDefault="00942481" w:rsidP="00942481">
            <w:pPr>
              <w:jc w:val="center"/>
              <w:rPr>
                <w:b/>
                <w:bCs/>
                <w:noProof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3433352" cy="839961"/>
                  <wp:effectExtent l="0" t="0" r="0" b="0"/>
                  <wp:docPr id="2" name="Immagine 2" descr="http://www.interreg-central.eu/src/interreg-central-eu/images/int_logo_groes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nterreg-central.eu/src/interreg-central-eu/images/int_logo_groes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6615" cy="848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EE7" w:rsidRDefault="00DF5EE7" w:rsidP="00942481">
            <w:pPr>
              <w:jc w:val="center"/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</w:tc>
      </w:tr>
      <w:tr w:rsidR="00CA190A" w:rsidRPr="00BD1A07" w:rsidTr="00AF18EB">
        <w:tc>
          <w:tcPr>
            <w:tcW w:w="2689" w:type="dxa"/>
            <w:vAlign w:val="center"/>
          </w:tcPr>
          <w:p w:rsidR="00CA190A" w:rsidRPr="00B1571E" w:rsidRDefault="00B033B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LOGO PROGETTO</w:t>
            </w:r>
          </w:p>
        </w:tc>
        <w:tc>
          <w:tcPr>
            <w:tcW w:w="7089" w:type="dxa"/>
            <w:vAlign w:val="center"/>
          </w:tcPr>
          <w:p w:rsidR="00CA190A" w:rsidRDefault="00CA190A" w:rsidP="00942481">
            <w:pPr>
              <w:jc w:val="center"/>
              <w:rPr>
                <w:b/>
                <w:bCs/>
                <w:noProof/>
                <w:sz w:val="24"/>
                <w:szCs w:val="24"/>
                <w:lang w:eastAsia="it-IT"/>
              </w:rPr>
            </w:pPr>
          </w:p>
          <w:p w:rsidR="00125B25" w:rsidRDefault="00942481" w:rsidP="009424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942481">
              <w:rPr>
                <w:b/>
                <w:bCs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41D14A46" wp14:editId="151B4257">
                  <wp:extent cx="3404182" cy="1471866"/>
                  <wp:effectExtent l="0" t="0" r="6350" b="0"/>
                  <wp:docPr id="1" name="Immagine 1" descr="C:\Users\lanarie\Documents\Programmi Gestione Diretta UE\Central Europe\SUBNODES\Comunicazione\SubNodes Project Logo\SubNodes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narie\Documents\Programmi Gestione Diretta UE\Central Europe\SUBNODES\Comunicazione\SubNodes Project Logo\SubNodes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3196" cy="1501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481" w:rsidRPr="00FD306C" w:rsidRDefault="00942481" w:rsidP="00942481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A5EB4" w:rsidRPr="00942481" w:rsidTr="00876BB2">
        <w:tc>
          <w:tcPr>
            <w:tcW w:w="2689" w:type="dxa"/>
            <w:vAlign w:val="center"/>
          </w:tcPr>
          <w:p w:rsidR="004A5EB4" w:rsidRPr="00B1571E" w:rsidRDefault="00B1571E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>TITOLO</w:t>
            </w:r>
          </w:p>
        </w:tc>
        <w:tc>
          <w:tcPr>
            <w:tcW w:w="7089" w:type="dxa"/>
            <w:vAlign w:val="center"/>
          </w:tcPr>
          <w:p w:rsidR="004A5EB4" w:rsidRPr="00942481" w:rsidRDefault="004A5EB4" w:rsidP="00FD306C">
            <w:pPr>
              <w:rPr>
                <w:i/>
                <w:lang w:val="en-US"/>
              </w:rPr>
            </w:pPr>
          </w:p>
          <w:p w:rsidR="00125B25" w:rsidRPr="00942481" w:rsidRDefault="00942481" w:rsidP="00FD306C">
            <w:pPr>
              <w:rPr>
                <w:i/>
                <w:lang w:val="en-GB"/>
              </w:rPr>
            </w:pPr>
            <w:r w:rsidRPr="00942481">
              <w:rPr>
                <w:rFonts w:cs="Helv"/>
                <w:color w:val="000000"/>
                <w:sz w:val="20"/>
                <w:szCs w:val="20"/>
                <w:lang w:val="en-GB"/>
              </w:rPr>
              <w:t>SUBNODES - "Connecting the hinterland via sub-nodes to the TEN-T core network"</w:t>
            </w:r>
          </w:p>
          <w:p w:rsidR="00125B25" w:rsidRPr="00942481" w:rsidRDefault="00125B25" w:rsidP="00FD306C">
            <w:pPr>
              <w:rPr>
                <w:i/>
                <w:lang w:val="en-US"/>
              </w:rPr>
            </w:pPr>
          </w:p>
        </w:tc>
      </w:tr>
      <w:tr w:rsidR="004A5EB4" w:rsidTr="00876BB2">
        <w:trPr>
          <w:trHeight w:val="492"/>
        </w:trPr>
        <w:tc>
          <w:tcPr>
            <w:tcW w:w="2689" w:type="dxa"/>
            <w:vAlign w:val="center"/>
          </w:tcPr>
          <w:p w:rsidR="004A5EB4" w:rsidRPr="00B1571E" w:rsidRDefault="00B1571E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>SITO WEB</w:t>
            </w:r>
          </w:p>
        </w:tc>
        <w:tc>
          <w:tcPr>
            <w:tcW w:w="7089" w:type="dxa"/>
            <w:vAlign w:val="center"/>
          </w:tcPr>
          <w:p w:rsidR="004A5EB4" w:rsidRPr="00942481" w:rsidRDefault="004A5EB4" w:rsidP="00125B25"/>
          <w:p w:rsidR="00125B25" w:rsidRPr="00942481" w:rsidRDefault="00DF5EE7" w:rsidP="00125B25">
            <w:hyperlink r:id="rId8" w:history="1">
              <w:r w:rsidR="00942481" w:rsidRPr="00942481">
                <w:rPr>
                  <w:rFonts w:cs="Arial"/>
                  <w:color w:val="0000FF"/>
                  <w:sz w:val="20"/>
                  <w:szCs w:val="20"/>
                  <w:u w:val="single"/>
                </w:rPr>
                <w:t>http://www.interreg-central.eu/Content.Node/subnodes.html</w:t>
              </w:r>
            </w:hyperlink>
          </w:p>
          <w:p w:rsidR="00125B25" w:rsidRPr="00942481" w:rsidRDefault="00125B25" w:rsidP="00125B25"/>
        </w:tc>
      </w:tr>
      <w:tr w:rsidR="004A5EB4" w:rsidTr="00876BB2">
        <w:trPr>
          <w:trHeight w:val="420"/>
        </w:trPr>
        <w:tc>
          <w:tcPr>
            <w:tcW w:w="2689" w:type="dxa"/>
            <w:vAlign w:val="center"/>
          </w:tcPr>
          <w:p w:rsidR="004A5EB4" w:rsidRPr="00B1571E" w:rsidRDefault="00B1571E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>DURATA</w:t>
            </w:r>
          </w:p>
        </w:tc>
        <w:tc>
          <w:tcPr>
            <w:tcW w:w="7089" w:type="dxa"/>
            <w:vAlign w:val="center"/>
          </w:tcPr>
          <w:p w:rsidR="004A5EB4" w:rsidRDefault="004A5EB4" w:rsidP="000646CF">
            <w:bookmarkStart w:id="0" w:name="_GoBack"/>
            <w:bookmarkEnd w:id="0"/>
          </w:p>
          <w:p w:rsidR="00125B25" w:rsidRPr="004A5EB4" w:rsidRDefault="00942481" w:rsidP="00DF5EE7">
            <w:r>
              <w:t>3 anni</w:t>
            </w:r>
          </w:p>
        </w:tc>
      </w:tr>
      <w:tr w:rsidR="004A5EB4" w:rsidTr="00876BB2">
        <w:tc>
          <w:tcPr>
            <w:tcW w:w="2689" w:type="dxa"/>
            <w:vAlign w:val="center"/>
          </w:tcPr>
          <w:p w:rsidR="004A5EB4" w:rsidRPr="00B1571E" w:rsidRDefault="00177CD3" w:rsidP="00177CD3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4"/>
              </w:rPr>
              <w:t>PRESENTAZIONE SINTETICA,</w:t>
            </w:r>
            <w:r w:rsidR="00B1571E" w:rsidRPr="00B1571E">
              <w:rPr>
                <w:b/>
                <w:smallCaps/>
                <w:color w:val="17365D" w:themeColor="text2" w:themeShade="BF"/>
                <w:sz w:val="24"/>
                <w:szCs w:val="24"/>
              </w:rPr>
              <w:t xml:space="preserve"> </w:t>
            </w:r>
            <w:r w:rsidR="00852A15">
              <w:rPr>
                <w:b/>
                <w:smallCaps/>
                <w:color w:val="17365D" w:themeColor="text2" w:themeShade="BF"/>
                <w:sz w:val="24"/>
                <w:szCs w:val="24"/>
              </w:rPr>
              <w:t>OBIETTIVI E RISULTATI</w:t>
            </w:r>
          </w:p>
        </w:tc>
        <w:tc>
          <w:tcPr>
            <w:tcW w:w="7089" w:type="dxa"/>
            <w:vAlign w:val="center"/>
          </w:tcPr>
          <w:p w:rsidR="00942481" w:rsidRPr="00942481" w:rsidRDefault="00942481" w:rsidP="00942481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942481">
              <w:rPr>
                <w:rFonts w:cs="Helv"/>
                <w:color w:val="000000"/>
                <w:sz w:val="20"/>
                <w:szCs w:val="20"/>
              </w:rPr>
              <w:t>Il progetto SUBNODES - "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Connecting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the hinterland via sub-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nodes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to the TEN-T core network" - mira a migliorare i collegamenti dall’hinterland verso gli 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hub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primari della rete TEN-T, attraverso gli 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hub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di trasporto secondari, i cosiddetti “</w:t>
            </w:r>
            <w:proofErr w:type="spellStart"/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>Subnodes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”. I nodi primari della rete TEN-T sono principalmente città con più di 150.000 abitanti e sono localizzati sulle principali linee ferroviarie della rete TEN-T core. I </w:t>
            </w:r>
            <w:proofErr w:type="spellStart"/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>subnode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sono principalmente città di dimensioni inferiori e città di periferia ma non molto distanti dall’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hub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principale, mediamente 25-50 km. Un esempio di nodi primari sono Brno (CZ), Erfurt (DE), Poznan (PL), con i 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subnodes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Blansko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(CZ), 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Sòmmerda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(DE), 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Koscian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(PL). Per Regione Lombardia i nodi primari che saranno presi in considerazione coincidono con gli aeroporti </w:t>
            </w:r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>core</w:t>
            </w:r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di Malpensa, Linate e Orio al Serio; i </w:t>
            </w:r>
            <w:proofErr w:type="spellStart"/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>subnode</w:t>
            </w:r>
            <w:proofErr w:type="spellEnd"/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42481">
              <w:rPr>
                <w:rFonts w:cs="Helv"/>
                <w:color w:val="000000"/>
                <w:sz w:val="20"/>
                <w:szCs w:val="20"/>
              </w:rPr>
              <w:t>considerati saranno Varese, Como, Bergamo, Brescia.</w:t>
            </w:r>
          </w:p>
          <w:p w:rsidR="00125B25" w:rsidRPr="00942481" w:rsidRDefault="00942481" w:rsidP="00F12EC0">
            <w:pPr>
              <w:jc w:val="both"/>
            </w:pPr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Sarà elaborata una strategia di sviluppo dei </w:t>
            </w:r>
            <w:proofErr w:type="spellStart"/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>subnode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, con la quale saranno individuate le misure e le azioni per migliorare i collegamenti delle reti di trasporto secondarie verso gli </w:t>
            </w:r>
            <w:proofErr w:type="spellStart"/>
            <w:r w:rsidRPr="00942481">
              <w:rPr>
                <w:rFonts w:cs="Helv"/>
                <w:color w:val="000000"/>
                <w:sz w:val="20"/>
                <w:szCs w:val="20"/>
              </w:rPr>
              <w:t>hub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 principali della rete TEN-T. La strategia sarà sviluppata in maniera congiunta da tutti i partner, che poi acquisiranno i principi base come fondamento che regolerà la politica di mobilità nelle proprie realtà.</w:t>
            </w:r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942481">
              <w:rPr>
                <w:rFonts w:cs="Helv"/>
                <w:color w:val="000000"/>
                <w:sz w:val="20"/>
                <w:szCs w:val="20"/>
              </w:rPr>
              <w:t xml:space="preserve">Ogni Regione potrà individuare e sviluppare una serie di azioni con cui sviluppare la rete di collegamenti di uno o più </w:t>
            </w:r>
            <w:proofErr w:type="spellStart"/>
            <w:r w:rsidRPr="00942481">
              <w:rPr>
                <w:rFonts w:cs="Helv"/>
                <w:i/>
                <w:iCs/>
                <w:color w:val="000000"/>
                <w:sz w:val="20"/>
                <w:szCs w:val="20"/>
              </w:rPr>
              <w:t>subnode</w:t>
            </w:r>
            <w:proofErr w:type="spellEnd"/>
            <w:r w:rsidRPr="00942481">
              <w:rPr>
                <w:rFonts w:cs="Helv"/>
                <w:color w:val="000000"/>
                <w:sz w:val="20"/>
                <w:szCs w:val="20"/>
              </w:rPr>
              <w:t>, con la possibilità di testare l’applicazione di misure concrete in condizioni reali. Le conclusioni del progetto dovranno poi essere recepite nei rispettivi documenti di indirizzo e pianificazione regionali.</w:t>
            </w:r>
          </w:p>
        </w:tc>
      </w:tr>
      <w:tr w:rsidR="00852A15" w:rsidTr="00876BB2">
        <w:trPr>
          <w:trHeight w:val="404"/>
        </w:trPr>
        <w:tc>
          <w:tcPr>
            <w:tcW w:w="2689" w:type="dxa"/>
            <w:vAlign w:val="center"/>
          </w:tcPr>
          <w:p w:rsidR="00852A15" w:rsidRPr="00B1571E" w:rsidRDefault="00852A15" w:rsidP="004A5EB4">
            <w:pPr>
              <w:rPr>
                <w:b/>
                <w:smallCaps/>
                <w:color w:val="17365D" w:themeColor="text2" w:themeShade="BF"/>
                <w:sz w:val="24"/>
                <w:szCs w:val="24"/>
              </w:rPr>
            </w:pPr>
            <w:r w:rsidRPr="00B1571E">
              <w:rPr>
                <w:b/>
                <w:smallCaps/>
                <w:color w:val="17365D" w:themeColor="text2" w:themeShade="BF"/>
                <w:sz w:val="24"/>
                <w:szCs w:val="28"/>
              </w:rPr>
              <w:t>BUDGET</w:t>
            </w:r>
            <w:r w:rsidR="000646CF">
              <w:rPr>
                <w:b/>
                <w:smallCaps/>
                <w:color w:val="17365D" w:themeColor="text2" w:themeShade="BF"/>
                <w:sz w:val="24"/>
                <w:szCs w:val="28"/>
              </w:rPr>
              <w:t xml:space="preserve"> FESR</w:t>
            </w:r>
          </w:p>
        </w:tc>
        <w:tc>
          <w:tcPr>
            <w:tcW w:w="7089" w:type="dxa"/>
            <w:vAlign w:val="center"/>
          </w:tcPr>
          <w:p w:rsidR="00125B25" w:rsidRPr="004A5EB4" w:rsidRDefault="00942481" w:rsidP="000646CF">
            <w:r w:rsidRPr="00942481">
              <w:t>1.531.393,10 €</w:t>
            </w:r>
          </w:p>
        </w:tc>
      </w:tr>
      <w:tr w:rsidR="000646CF" w:rsidTr="00876BB2">
        <w:tc>
          <w:tcPr>
            <w:tcW w:w="2689" w:type="dxa"/>
            <w:vAlign w:val="center"/>
          </w:tcPr>
          <w:p w:rsidR="000646CF" w:rsidRPr="00B1571E" w:rsidRDefault="000646CF" w:rsidP="004A5EB4">
            <w:pPr>
              <w:rPr>
                <w:b/>
                <w:smallCaps/>
                <w:color w:val="17365D" w:themeColor="text2" w:themeShade="BF"/>
                <w:sz w:val="24"/>
                <w:szCs w:val="28"/>
              </w:rPr>
            </w:pPr>
            <w:r>
              <w:rPr>
                <w:b/>
                <w:smallCaps/>
                <w:color w:val="17365D" w:themeColor="text2" w:themeShade="BF"/>
                <w:sz w:val="24"/>
                <w:szCs w:val="28"/>
              </w:rPr>
              <w:t xml:space="preserve">BUDGET TOTALE </w:t>
            </w:r>
          </w:p>
        </w:tc>
        <w:tc>
          <w:tcPr>
            <w:tcW w:w="7089" w:type="dxa"/>
            <w:vAlign w:val="center"/>
          </w:tcPr>
          <w:p w:rsidR="00125B25" w:rsidRPr="000646CF" w:rsidRDefault="00942481" w:rsidP="000646CF">
            <w:r w:rsidRPr="00942481">
              <w:t>1.854.554,76 €</w:t>
            </w:r>
          </w:p>
        </w:tc>
      </w:tr>
    </w:tbl>
    <w:p w:rsidR="00EE5704" w:rsidRDefault="00EE5704" w:rsidP="00DF5EE7"/>
    <w:sectPr w:rsidR="00EE5704" w:rsidSect="00EF79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F4A01"/>
    <w:multiLevelType w:val="multilevel"/>
    <w:tmpl w:val="808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04"/>
    <w:rsid w:val="000646CF"/>
    <w:rsid w:val="000A1A2B"/>
    <w:rsid w:val="00125B25"/>
    <w:rsid w:val="00177CD3"/>
    <w:rsid w:val="00235DF4"/>
    <w:rsid w:val="002746A1"/>
    <w:rsid w:val="002939E5"/>
    <w:rsid w:val="0035326F"/>
    <w:rsid w:val="004A5EB4"/>
    <w:rsid w:val="00525EE1"/>
    <w:rsid w:val="00564697"/>
    <w:rsid w:val="006C3522"/>
    <w:rsid w:val="0072293B"/>
    <w:rsid w:val="00732CF1"/>
    <w:rsid w:val="007413BA"/>
    <w:rsid w:val="007B308C"/>
    <w:rsid w:val="00850257"/>
    <w:rsid w:val="00852A15"/>
    <w:rsid w:val="00876BB2"/>
    <w:rsid w:val="00902032"/>
    <w:rsid w:val="00942481"/>
    <w:rsid w:val="009662CD"/>
    <w:rsid w:val="00995692"/>
    <w:rsid w:val="009C6581"/>
    <w:rsid w:val="00A71731"/>
    <w:rsid w:val="00A77A1C"/>
    <w:rsid w:val="00AF18EB"/>
    <w:rsid w:val="00B033B5"/>
    <w:rsid w:val="00B1571E"/>
    <w:rsid w:val="00B74A9A"/>
    <w:rsid w:val="00BD1A07"/>
    <w:rsid w:val="00C21F7B"/>
    <w:rsid w:val="00C4458E"/>
    <w:rsid w:val="00C67092"/>
    <w:rsid w:val="00C82118"/>
    <w:rsid w:val="00CA190A"/>
    <w:rsid w:val="00D72870"/>
    <w:rsid w:val="00DF5EE7"/>
    <w:rsid w:val="00EC3D1A"/>
    <w:rsid w:val="00EE5704"/>
    <w:rsid w:val="00EF79C8"/>
    <w:rsid w:val="00F12EC0"/>
    <w:rsid w:val="00FD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EBA0F-E038-4C0B-9E95-F0442D7A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5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82118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2118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semiHidden/>
    <w:rsid w:val="00C8211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C82118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4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reg-central.eu/Content.Node/subnode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interreg-central.eu/Content.Node/hom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Longari</dc:creator>
  <cp:lastModifiedBy>Paola Volpato</cp:lastModifiedBy>
  <cp:revision>4</cp:revision>
  <dcterms:created xsi:type="dcterms:W3CDTF">2017-12-19T16:00:00Z</dcterms:created>
  <dcterms:modified xsi:type="dcterms:W3CDTF">2017-12-19T16:02:00Z</dcterms:modified>
</cp:coreProperties>
</file>